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9C" w:rsidRDefault="00A7289C" w:rsidP="00D90599">
      <w:pPr>
        <w:pStyle w:val="NoSpacing"/>
        <w:rPr>
          <w:b/>
        </w:rPr>
      </w:pPr>
      <w:bookmarkStart w:id="0" w:name="_GoBack"/>
      <w:bookmarkEnd w:id="0"/>
    </w:p>
    <w:p w:rsidR="00D90599" w:rsidRPr="00CD4ACA" w:rsidRDefault="00D71527" w:rsidP="00CD4ACA">
      <w:pPr>
        <w:rPr>
          <w:b/>
          <w:sz w:val="28"/>
          <w:szCs w:val="28"/>
        </w:rPr>
      </w:pPr>
      <w:r w:rsidRPr="00CD4ACA">
        <w:rPr>
          <w:b/>
          <w:sz w:val="28"/>
          <w:szCs w:val="28"/>
        </w:rPr>
        <w:t>Latest News</w:t>
      </w:r>
    </w:p>
    <w:p w:rsidR="00D71527" w:rsidRDefault="00D71527" w:rsidP="00CD4ACA"/>
    <w:p w:rsidR="00D71527" w:rsidRPr="00CD4ACA" w:rsidRDefault="00DB0C11" w:rsidP="00CD4ACA">
      <w:pPr>
        <w:rPr>
          <w:b/>
        </w:rPr>
      </w:pPr>
      <w:r w:rsidRPr="00CD4ACA">
        <w:rPr>
          <w:b/>
        </w:rPr>
        <w:t xml:space="preserve">Budget 2015 – </w:t>
      </w:r>
      <w:r w:rsidR="00D71527" w:rsidRPr="00CD4ACA">
        <w:rPr>
          <w:b/>
        </w:rPr>
        <w:t>Pensions</w:t>
      </w:r>
      <w:r w:rsidRPr="00CD4ACA">
        <w:rPr>
          <w:b/>
        </w:rPr>
        <w:t xml:space="preserve"> left largely unchanged</w:t>
      </w:r>
    </w:p>
    <w:p w:rsidR="00D71527" w:rsidRDefault="00D71527" w:rsidP="00CD4ACA"/>
    <w:p w:rsidR="00AA3A3B" w:rsidRPr="00CD4ACA" w:rsidRDefault="00AA3A3B" w:rsidP="00CD4ACA">
      <w:pPr>
        <w:rPr>
          <w:color w:val="0070C0"/>
        </w:rPr>
      </w:pPr>
      <w:r w:rsidRPr="00CD4ACA">
        <w:rPr>
          <w:color w:val="0070C0"/>
        </w:rPr>
        <w:t>Pension Levy</w:t>
      </w:r>
    </w:p>
    <w:p w:rsidR="009D409F" w:rsidRPr="00CD4ACA" w:rsidRDefault="00DB0C11" w:rsidP="00CD4ACA">
      <w:pPr>
        <w:rPr>
          <w:rFonts w:asciiTheme="minorHAnsi" w:hAnsiTheme="minorHAnsi"/>
        </w:rPr>
      </w:pPr>
      <w:r w:rsidRPr="00CD4ACA">
        <w:rPr>
          <w:rFonts w:asciiTheme="minorHAnsi" w:hAnsiTheme="minorHAnsi"/>
        </w:rPr>
        <w:t xml:space="preserve">The Minister has confirmed the commitment made in last year’s Budget that the pension levy will reduce to 0.15% in 2015 and that it will not extend beyond 2015.  </w:t>
      </w:r>
      <w:r w:rsidR="009D409F" w:rsidRPr="00CD4ACA">
        <w:rPr>
          <w:rFonts w:asciiTheme="minorHAnsi" w:hAnsiTheme="minorHAnsi"/>
        </w:rPr>
        <w:t xml:space="preserve">Since </w:t>
      </w:r>
      <w:r w:rsidR="004A305F" w:rsidRPr="00CD4ACA">
        <w:rPr>
          <w:rFonts w:asciiTheme="minorHAnsi" w:hAnsiTheme="minorHAnsi"/>
        </w:rPr>
        <w:t>its</w:t>
      </w:r>
      <w:r w:rsidR="009D409F" w:rsidRPr="00CD4ACA">
        <w:rPr>
          <w:rFonts w:asciiTheme="minorHAnsi" w:hAnsiTheme="minorHAnsi"/>
        </w:rPr>
        <w:t xml:space="preserve"> introduction in 2011, the cumulative impact of the levy is that i</w:t>
      </w:r>
      <w:r w:rsidR="00AA3A3B" w:rsidRPr="00CD4ACA">
        <w:rPr>
          <w:rFonts w:asciiTheme="minorHAnsi" w:hAnsiTheme="minorHAnsi"/>
        </w:rPr>
        <w:t>t has taken about 2.7</w:t>
      </w:r>
      <w:r w:rsidR="009D409F" w:rsidRPr="00CD4ACA">
        <w:rPr>
          <w:rFonts w:asciiTheme="minorHAnsi" w:hAnsiTheme="minorHAnsi"/>
        </w:rPr>
        <w:t>% of private pension fund a</w:t>
      </w:r>
      <w:r w:rsidR="00AA3A3B" w:rsidRPr="00CD4ACA">
        <w:rPr>
          <w:rFonts w:asciiTheme="minorHAnsi" w:hAnsiTheme="minorHAnsi"/>
        </w:rPr>
        <w:t>ssets from 2011 to 2015</w:t>
      </w:r>
      <w:r w:rsidR="00CD4ACA" w:rsidRPr="00CD4ACA">
        <w:rPr>
          <w:rFonts w:asciiTheme="minorHAnsi" w:hAnsiTheme="minorHAnsi"/>
        </w:rPr>
        <w:t>.  C</w:t>
      </w:r>
      <w:r w:rsidR="009D409F" w:rsidRPr="00CD4ACA">
        <w:rPr>
          <w:rFonts w:asciiTheme="minorHAnsi" w:hAnsiTheme="minorHAnsi"/>
        </w:rPr>
        <w:t>onfi</w:t>
      </w:r>
      <w:r w:rsidR="00AA3A3B" w:rsidRPr="00CD4ACA">
        <w:rPr>
          <w:rFonts w:asciiTheme="minorHAnsi" w:hAnsiTheme="minorHAnsi"/>
        </w:rPr>
        <w:t>rmation that it will end next year</w:t>
      </w:r>
      <w:r w:rsidR="009D409F" w:rsidRPr="00CD4ACA">
        <w:rPr>
          <w:rFonts w:asciiTheme="minorHAnsi" w:hAnsiTheme="minorHAnsi"/>
        </w:rPr>
        <w:t xml:space="preserve"> is </w:t>
      </w:r>
      <w:r w:rsidR="009A0DAC">
        <w:rPr>
          <w:rFonts w:asciiTheme="minorHAnsi" w:hAnsiTheme="minorHAnsi"/>
        </w:rPr>
        <w:t xml:space="preserve">greatly </w:t>
      </w:r>
      <w:r w:rsidR="009D409F" w:rsidRPr="00CD4ACA">
        <w:rPr>
          <w:rFonts w:asciiTheme="minorHAnsi" w:hAnsiTheme="minorHAnsi"/>
        </w:rPr>
        <w:t>welcome</w:t>
      </w:r>
      <w:r w:rsidR="003E193B" w:rsidRPr="00CD4ACA">
        <w:rPr>
          <w:rFonts w:asciiTheme="minorHAnsi" w:hAnsiTheme="minorHAnsi"/>
        </w:rPr>
        <w:t>d</w:t>
      </w:r>
      <w:r w:rsidR="009D409F" w:rsidRPr="00CD4ACA">
        <w:rPr>
          <w:rFonts w:asciiTheme="minorHAnsi" w:hAnsiTheme="minorHAnsi"/>
        </w:rPr>
        <w:t>.</w:t>
      </w:r>
    </w:p>
    <w:p w:rsidR="009D409F" w:rsidRPr="00CD4ACA" w:rsidRDefault="009D409F" w:rsidP="00CD4ACA">
      <w:pPr>
        <w:rPr>
          <w:rFonts w:asciiTheme="minorHAnsi" w:hAnsiTheme="minorHAnsi"/>
        </w:rPr>
      </w:pPr>
    </w:p>
    <w:p w:rsidR="00AA3A3B" w:rsidRPr="00CD4ACA" w:rsidRDefault="00AA3A3B" w:rsidP="00CD4ACA">
      <w:pPr>
        <w:rPr>
          <w:rFonts w:asciiTheme="minorHAnsi" w:hAnsiTheme="minorHAnsi"/>
          <w:color w:val="0070C0"/>
        </w:rPr>
      </w:pPr>
      <w:r w:rsidRPr="00CD4ACA">
        <w:rPr>
          <w:rFonts w:asciiTheme="minorHAnsi" w:hAnsiTheme="minorHAnsi"/>
          <w:color w:val="0070C0"/>
        </w:rPr>
        <w:t>Tax Relief</w:t>
      </w:r>
    </w:p>
    <w:p w:rsidR="00AA3A3B" w:rsidRPr="00CD4ACA" w:rsidRDefault="00BD68A6" w:rsidP="00CD4ACA">
      <w:pPr>
        <w:rPr>
          <w:rFonts w:asciiTheme="minorHAnsi" w:hAnsiTheme="minorHAnsi"/>
        </w:rPr>
      </w:pPr>
      <w:r w:rsidRPr="00CD4ACA">
        <w:rPr>
          <w:rFonts w:asciiTheme="minorHAnsi" w:hAnsiTheme="minorHAnsi"/>
        </w:rPr>
        <w:t>Tax relief for pension contributions continu</w:t>
      </w:r>
      <w:r w:rsidR="00AA3A3B" w:rsidRPr="00CD4ACA">
        <w:rPr>
          <w:rFonts w:asciiTheme="minorHAnsi" w:hAnsiTheme="minorHAnsi"/>
        </w:rPr>
        <w:t>e</w:t>
      </w:r>
      <w:r w:rsidRPr="00CD4ACA">
        <w:rPr>
          <w:rFonts w:asciiTheme="minorHAnsi" w:hAnsiTheme="minorHAnsi"/>
        </w:rPr>
        <w:t xml:space="preserve"> at marginal rates</w:t>
      </w:r>
      <w:r w:rsidR="00AA3A3B" w:rsidRPr="00CD4ACA">
        <w:rPr>
          <w:rFonts w:asciiTheme="minorHAnsi" w:hAnsiTheme="minorHAnsi"/>
        </w:rPr>
        <w:t>.  However, th</w:t>
      </w:r>
      <w:r w:rsidR="00CD4ACA" w:rsidRPr="00CD4ACA">
        <w:rPr>
          <w:rFonts w:asciiTheme="minorHAnsi" w:hAnsiTheme="minorHAnsi"/>
        </w:rPr>
        <w:t xml:space="preserve">e higher rate of income tax will reduce </w:t>
      </w:r>
      <w:r w:rsidR="00AA3A3B" w:rsidRPr="00CD4ACA">
        <w:rPr>
          <w:rFonts w:asciiTheme="minorHAnsi" w:hAnsiTheme="minorHAnsi"/>
        </w:rPr>
        <w:t xml:space="preserve">to 40%.  </w:t>
      </w:r>
      <w:r w:rsidR="003E193B" w:rsidRPr="00CD4ACA">
        <w:rPr>
          <w:rFonts w:asciiTheme="minorHAnsi" w:hAnsiTheme="minorHAnsi"/>
        </w:rPr>
        <w:t>The 2015 rates of income tax will be</w:t>
      </w:r>
      <w:r w:rsidR="00AA3A3B" w:rsidRPr="00CD4ACA">
        <w:rPr>
          <w:rFonts w:asciiTheme="minorHAnsi" w:hAnsiTheme="minorHAnsi"/>
        </w:rPr>
        <w:t>:</w:t>
      </w:r>
    </w:p>
    <w:p w:rsidR="00AA3A3B" w:rsidRPr="00CD4ACA" w:rsidRDefault="00AA3A3B" w:rsidP="00CD4ACA">
      <w:pPr>
        <w:rPr>
          <w:rFonts w:asciiTheme="minorHAnsi" w:hAnsiTheme="minorHAnsi"/>
        </w:rPr>
      </w:pPr>
    </w:p>
    <w:tbl>
      <w:tblPr>
        <w:tblStyle w:val="MediumGrid1-Accent3"/>
        <w:tblW w:w="0" w:type="auto"/>
        <w:jc w:val="center"/>
        <w:tblInd w:w="534" w:type="dxa"/>
        <w:tblLook w:val="04A0" w:firstRow="1" w:lastRow="0" w:firstColumn="1" w:lastColumn="0" w:noHBand="0" w:noVBand="1"/>
      </w:tblPr>
      <w:tblGrid>
        <w:gridCol w:w="4087"/>
        <w:gridCol w:w="3709"/>
      </w:tblGrid>
      <w:tr w:rsidR="00AA3A3B" w:rsidRPr="00CD4ACA" w:rsidTr="004A30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7" w:type="dxa"/>
          </w:tcPr>
          <w:p w:rsidR="00AA3A3B" w:rsidRPr="004A305F" w:rsidRDefault="00AA3A3B" w:rsidP="00CD4ACA">
            <w:pPr>
              <w:rPr>
                <w:rFonts w:asciiTheme="minorHAnsi" w:hAnsiTheme="minorHAnsi"/>
                <w:b w:val="0"/>
              </w:rPr>
            </w:pPr>
            <w:r w:rsidRPr="004A305F">
              <w:rPr>
                <w:rFonts w:asciiTheme="minorHAnsi" w:hAnsiTheme="minorHAnsi"/>
                <w:b w:val="0"/>
              </w:rPr>
              <w:t>Standard Rate</w:t>
            </w:r>
          </w:p>
        </w:tc>
        <w:tc>
          <w:tcPr>
            <w:tcW w:w="3709" w:type="dxa"/>
          </w:tcPr>
          <w:p w:rsidR="00AA3A3B" w:rsidRPr="004A305F" w:rsidRDefault="00AA3A3B" w:rsidP="00CD4ACA">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4A305F">
              <w:rPr>
                <w:rFonts w:asciiTheme="minorHAnsi" w:hAnsiTheme="minorHAnsi"/>
                <w:b w:val="0"/>
              </w:rPr>
              <w:t>20%</w:t>
            </w:r>
          </w:p>
        </w:tc>
      </w:tr>
      <w:tr w:rsidR="00AA3A3B" w:rsidRPr="00CD4ACA" w:rsidTr="004A30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7" w:type="dxa"/>
          </w:tcPr>
          <w:p w:rsidR="00AA3A3B" w:rsidRPr="004A305F" w:rsidRDefault="00AA3A3B" w:rsidP="00CD4ACA">
            <w:pPr>
              <w:rPr>
                <w:rFonts w:asciiTheme="minorHAnsi" w:hAnsiTheme="minorHAnsi"/>
                <w:b w:val="0"/>
              </w:rPr>
            </w:pPr>
            <w:r w:rsidRPr="004A305F">
              <w:rPr>
                <w:rFonts w:asciiTheme="minorHAnsi" w:hAnsiTheme="minorHAnsi"/>
                <w:b w:val="0"/>
              </w:rPr>
              <w:t>Higher Rate</w:t>
            </w:r>
          </w:p>
        </w:tc>
        <w:tc>
          <w:tcPr>
            <w:tcW w:w="3709" w:type="dxa"/>
          </w:tcPr>
          <w:p w:rsidR="00AA3A3B" w:rsidRPr="004A305F" w:rsidRDefault="00AA3A3B" w:rsidP="00CD4AC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A305F">
              <w:rPr>
                <w:rFonts w:asciiTheme="minorHAnsi" w:hAnsiTheme="minorHAnsi"/>
              </w:rPr>
              <w:t>40%</w:t>
            </w:r>
          </w:p>
        </w:tc>
      </w:tr>
    </w:tbl>
    <w:p w:rsidR="00AA3A3B" w:rsidRPr="00CD4ACA" w:rsidRDefault="00AA3A3B" w:rsidP="00CD4ACA">
      <w:pPr>
        <w:rPr>
          <w:rFonts w:asciiTheme="minorHAnsi" w:hAnsiTheme="minorHAnsi"/>
        </w:rPr>
      </w:pPr>
    </w:p>
    <w:p w:rsidR="003E193B" w:rsidRPr="00CD4ACA" w:rsidRDefault="00AA3A3B" w:rsidP="00CD4ACA">
      <w:pPr>
        <w:rPr>
          <w:rFonts w:asciiTheme="minorHAnsi" w:hAnsiTheme="minorHAnsi"/>
        </w:rPr>
      </w:pPr>
      <w:r w:rsidRPr="00CD4ACA">
        <w:rPr>
          <w:rFonts w:asciiTheme="minorHAnsi" w:hAnsiTheme="minorHAnsi"/>
        </w:rPr>
        <w:t xml:space="preserve">Subject to affordability, individuals on </w:t>
      </w:r>
      <w:r w:rsidR="00C10BAF">
        <w:rPr>
          <w:rFonts w:asciiTheme="minorHAnsi" w:hAnsiTheme="minorHAnsi"/>
        </w:rPr>
        <w:t xml:space="preserve">the </w:t>
      </w:r>
      <w:r w:rsidRPr="00CD4ACA">
        <w:rPr>
          <w:rFonts w:asciiTheme="minorHAnsi" w:hAnsiTheme="minorHAnsi"/>
        </w:rPr>
        <w:t>higher</w:t>
      </w:r>
      <w:r w:rsidR="009A0DAC">
        <w:rPr>
          <w:rFonts w:asciiTheme="minorHAnsi" w:hAnsiTheme="minorHAnsi"/>
        </w:rPr>
        <w:t xml:space="preserve"> rate </w:t>
      </w:r>
      <w:r w:rsidR="00C10BAF">
        <w:rPr>
          <w:rFonts w:asciiTheme="minorHAnsi" w:hAnsiTheme="minorHAnsi"/>
        </w:rPr>
        <w:t xml:space="preserve">of </w:t>
      </w:r>
      <w:r w:rsidR="009A0DAC">
        <w:rPr>
          <w:rFonts w:asciiTheme="minorHAnsi" w:hAnsiTheme="minorHAnsi"/>
        </w:rPr>
        <w:t>tax should</w:t>
      </w:r>
      <w:r w:rsidR="00AD67B5" w:rsidRPr="00CD4ACA">
        <w:rPr>
          <w:rFonts w:asciiTheme="minorHAnsi" w:hAnsiTheme="minorHAnsi"/>
        </w:rPr>
        <w:t xml:space="preserve"> consider maximising</w:t>
      </w:r>
      <w:r w:rsidRPr="00CD4ACA">
        <w:rPr>
          <w:rFonts w:asciiTheme="minorHAnsi" w:hAnsiTheme="minorHAnsi"/>
        </w:rPr>
        <w:t xml:space="preserve"> their pension contributions before the end of 2014 in order to benefit from the higher rate </w:t>
      </w:r>
      <w:r w:rsidR="00C10BAF">
        <w:rPr>
          <w:rFonts w:asciiTheme="minorHAnsi" w:hAnsiTheme="minorHAnsi"/>
        </w:rPr>
        <w:t xml:space="preserve">of </w:t>
      </w:r>
      <w:r w:rsidRPr="00CD4ACA">
        <w:rPr>
          <w:rFonts w:asciiTheme="minorHAnsi" w:hAnsiTheme="minorHAnsi"/>
        </w:rPr>
        <w:t xml:space="preserve">relief </w:t>
      </w:r>
      <w:r w:rsidR="00AD67B5" w:rsidRPr="00CD4ACA">
        <w:rPr>
          <w:rFonts w:asciiTheme="minorHAnsi" w:hAnsiTheme="minorHAnsi"/>
        </w:rPr>
        <w:t xml:space="preserve">available at 41%. The following table </w:t>
      </w:r>
      <w:r w:rsidR="003E193B" w:rsidRPr="00CD4ACA">
        <w:rPr>
          <w:rFonts w:asciiTheme="minorHAnsi" w:hAnsiTheme="minorHAnsi"/>
        </w:rPr>
        <w:t xml:space="preserve">shows the maximum contribution that can be paid in any tax year: </w:t>
      </w:r>
    </w:p>
    <w:p w:rsidR="003E193B" w:rsidRPr="00CD4ACA" w:rsidRDefault="003E193B" w:rsidP="00CD4ACA">
      <w:pPr>
        <w:rPr>
          <w:rFonts w:asciiTheme="minorHAnsi" w:hAnsiTheme="minorHAnsi"/>
        </w:rPr>
      </w:pPr>
    </w:p>
    <w:tbl>
      <w:tblPr>
        <w:tblStyle w:val="MediumGrid1-Accent3"/>
        <w:tblW w:w="0" w:type="auto"/>
        <w:jc w:val="center"/>
        <w:tblInd w:w="534" w:type="dxa"/>
        <w:tblLook w:val="04A0" w:firstRow="1" w:lastRow="0" w:firstColumn="1" w:lastColumn="0" w:noHBand="0" w:noVBand="1"/>
      </w:tblPr>
      <w:tblGrid>
        <w:gridCol w:w="4087"/>
        <w:gridCol w:w="3709"/>
      </w:tblGrid>
      <w:tr w:rsidR="003E193B" w:rsidRPr="00CD4ACA" w:rsidTr="004A30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7" w:type="dxa"/>
          </w:tcPr>
          <w:p w:rsidR="003E193B" w:rsidRPr="004A305F" w:rsidRDefault="003E193B" w:rsidP="00CD4ACA">
            <w:pPr>
              <w:rPr>
                <w:rFonts w:asciiTheme="minorHAnsi" w:hAnsiTheme="minorHAnsi"/>
                <w:b w:val="0"/>
              </w:rPr>
            </w:pPr>
            <w:r w:rsidRPr="004A305F">
              <w:rPr>
                <w:rFonts w:asciiTheme="minorHAnsi" w:hAnsiTheme="minorHAnsi"/>
                <w:b w:val="0"/>
              </w:rPr>
              <w:t>Under Age 30</w:t>
            </w:r>
          </w:p>
        </w:tc>
        <w:tc>
          <w:tcPr>
            <w:tcW w:w="3709" w:type="dxa"/>
          </w:tcPr>
          <w:p w:rsidR="003E193B" w:rsidRPr="004A305F" w:rsidRDefault="003E193B" w:rsidP="00CD4ACA">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4A305F">
              <w:rPr>
                <w:rFonts w:asciiTheme="minorHAnsi" w:hAnsiTheme="minorHAnsi"/>
                <w:b w:val="0"/>
              </w:rPr>
              <w:t>15% of Remuneration</w:t>
            </w:r>
          </w:p>
        </w:tc>
      </w:tr>
      <w:tr w:rsidR="003E193B" w:rsidRPr="00CD4ACA" w:rsidTr="004A30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7" w:type="dxa"/>
          </w:tcPr>
          <w:p w:rsidR="003E193B" w:rsidRPr="004A305F" w:rsidRDefault="003E193B" w:rsidP="00CD4ACA">
            <w:pPr>
              <w:rPr>
                <w:rFonts w:asciiTheme="minorHAnsi" w:hAnsiTheme="minorHAnsi"/>
                <w:b w:val="0"/>
              </w:rPr>
            </w:pPr>
            <w:r w:rsidRPr="004A305F">
              <w:rPr>
                <w:rFonts w:asciiTheme="minorHAnsi" w:hAnsiTheme="minorHAnsi"/>
                <w:b w:val="0"/>
              </w:rPr>
              <w:t>Age 30 to 39</w:t>
            </w:r>
          </w:p>
        </w:tc>
        <w:tc>
          <w:tcPr>
            <w:tcW w:w="3709" w:type="dxa"/>
          </w:tcPr>
          <w:p w:rsidR="003E193B" w:rsidRPr="004A305F" w:rsidRDefault="003E193B" w:rsidP="00CD4AC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A305F">
              <w:rPr>
                <w:rFonts w:asciiTheme="minorHAnsi" w:hAnsiTheme="minorHAnsi"/>
              </w:rPr>
              <w:t>20% of Remuneration</w:t>
            </w:r>
          </w:p>
        </w:tc>
      </w:tr>
      <w:tr w:rsidR="003E193B" w:rsidRPr="00CD4ACA" w:rsidTr="004A305F">
        <w:trPr>
          <w:jc w:val="center"/>
        </w:trPr>
        <w:tc>
          <w:tcPr>
            <w:cnfStyle w:val="001000000000" w:firstRow="0" w:lastRow="0" w:firstColumn="1" w:lastColumn="0" w:oddVBand="0" w:evenVBand="0" w:oddHBand="0" w:evenHBand="0" w:firstRowFirstColumn="0" w:firstRowLastColumn="0" w:lastRowFirstColumn="0" w:lastRowLastColumn="0"/>
            <w:tcW w:w="4087" w:type="dxa"/>
          </w:tcPr>
          <w:p w:rsidR="003E193B" w:rsidRPr="004A305F" w:rsidRDefault="003E193B" w:rsidP="00CD4ACA">
            <w:pPr>
              <w:rPr>
                <w:rFonts w:asciiTheme="minorHAnsi" w:hAnsiTheme="minorHAnsi"/>
                <w:b w:val="0"/>
              </w:rPr>
            </w:pPr>
            <w:r w:rsidRPr="004A305F">
              <w:rPr>
                <w:rFonts w:asciiTheme="minorHAnsi" w:hAnsiTheme="minorHAnsi"/>
                <w:b w:val="0"/>
              </w:rPr>
              <w:t>Age 40 to 49</w:t>
            </w:r>
          </w:p>
        </w:tc>
        <w:tc>
          <w:tcPr>
            <w:tcW w:w="3709" w:type="dxa"/>
          </w:tcPr>
          <w:p w:rsidR="003E193B" w:rsidRPr="004A305F" w:rsidRDefault="003E193B" w:rsidP="00CD4A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A305F">
              <w:rPr>
                <w:rFonts w:asciiTheme="minorHAnsi" w:hAnsiTheme="minorHAnsi"/>
              </w:rPr>
              <w:t>25% of Remuneration</w:t>
            </w:r>
          </w:p>
        </w:tc>
      </w:tr>
      <w:tr w:rsidR="003E193B" w:rsidRPr="00CD4ACA" w:rsidTr="004A30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7" w:type="dxa"/>
          </w:tcPr>
          <w:p w:rsidR="003E193B" w:rsidRPr="004A305F" w:rsidRDefault="003E193B" w:rsidP="00CD4ACA">
            <w:pPr>
              <w:rPr>
                <w:rFonts w:asciiTheme="minorHAnsi" w:hAnsiTheme="minorHAnsi"/>
                <w:b w:val="0"/>
              </w:rPr>
            </w:pPr>
            <w:r w:rsidRPr="004A305F">
              <w:rPr>
                <w:rFonts w:asciiTheme="minorHAnsi" w:hAnsiTheme="minorHAnsi"/>
                <w:b w:val="0"/>
              </w:rPr>
              <w:t>Age 50 to 54</w:t>
            </w:r>
          </w:p>
        </w:tc>
        <w:tc>
          <w:tcPr>
            <w:tcW w:w="3709" w:type="dxa"/>
          </w:tcPr>
          <w:p w:rsidR="003E193B" w:rsidRPr="004A305F" w:rsidRDefault="003E193B" w:rsidP="00CD4AC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A305F">
              <w:rPr>
                <w:rFonts w:asciiTheme="minorHAnsi" w:hAnsiTheme="minorHAnsi"/>
              </w:rPr>
              <w:t>30% of Remuneration</w:t>
            </w:r>
          </w:p>
        </w:tc>
      </w:tr>
      <w:tr w:rsidR="003E193B" w:rsidRPr="00CD4ACA" w:rsidTr="004A305F">
        <w:trPr>
          <w:jc w:val="center"/>
        </w:trPr>
        <w:tc>
          <w:tcPr>
            <w:cnfStyle w:val="001000000000" w:firstRow="0" w:lastRow="0" w:firstColumn="1" w:lastColumn="0" w:oddVBand="0" w:evenVBand="0" w:oddHBand="0" w:evenHBand="0" w:firstRowFirstColumn="0" w:firstRowLastColumn="0" w:lastRowFirstColumn="0" w:lastRowLastColumn="0"/>
            <w:tcW w:w="4087" w:type="dxa"/>
          </w:tcPr>
          <w:p w:rsidR="003E193B" w:rsidRPr="004A305F" w:rsidRDefault="003E193B" w:rsidP="00CD4ACA">
            <w:pPr>
              <w:rPr>
                <w:rFonts w:asciiTheme="minorHAnsi" w:hAnsiTheme="minorHAnsi"/>
                <w:b w:val="0"/>
              </w:rPr>
            </w:pPr>
            <w:r w:rsidRPr="004A305F">
              <w:rPr>
                <w:rFonts w:asciiTheme="minorHAnsi" w:hAnsiTheme="minorHAnsi"/>
                <w:b w:val="0"/>
              </w:rPr>
              <w:t>Age 55 to 59</w:t>
            </w:r>
          </w:p>
        </w:tc>
        <w:tc>
          <w:tcPr>
            <w:tcW w:w="3709" w:type="dxa"/>
          </w:tcPr>
          <w:p w:rsidR="003E193B" w:rsidRPr="004A305F" w:rsidRDefault="003E193B" w:rsidP="00CD4A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A305F">
              <w:rPr>
                <w:rFonts w:asciiTheme="minorHAnsi" w:hAnsiTheme="minorHAnsi"/>
              </w:rPr>
              <w:t>35% of Remuneration</w:t>
            </w:r>
          </w:p>
        </w:tc>
      </w:tr>
      <w:tr w:rsidR="003E193B" w:rsidRPr="00CD4ACA" w:rsidTr="004A30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7" w:type="dxa"/>
          </w:tcPr>
          <w:p w:rsidR="003E193B" w:rsidRPr="004A305F" w:rsidRDefault="003E193B" w:rsidP="00CD4ACA">
            <w:pPr>
              <w:rPr>
                <w:rFonts w:asciiTheme="minorHAnsi" w:hAnsiTheme="minorHAnsi"/>
                <w:b w:val="0"/>
              </w:rPr>
            </w:pPr>
            <w:r w:rsidRPr="004A305F">
              <w:rPr>
                <w:rFonts w:asciiTheme="minorHAnsi" w:hAnsiTheme="minorHAnsi"/>
                <w:b w:val="0"/>
              </w:rPr>
              <w:t>Age 60 and Over</w:t>
            </w:r>
          </w:p>
        </w:tc>
        <w:tc>
          <w:tcPr>
            <w:tcW w:w="3709" w:type="dxa"/>
          </w:tcPr>
          <w:p w:rsidR="003E193B" w:rsidRPr="004A305F" w:rsidRDefault="003E193B" w:rsidP="00CD4AC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A305F">
              <w:rPr>
                <w:rFonts w:asciiTheme="minorHAnsi" w:hAnsiTheme="minorHAnsi"/>
              </w:rPr>
              <w:t>40% of Remuneration</w:t>
            </w:r>
          </w:p>
        </w:tc>
      </w:tr>
    </w:tbl>
    <w:p w:rsidR="003E193B" w:rsidRPr="00CD4ACA" w:rsidRDefault="003E193B" w:rsidP="00CD4ACA">
      <w:pPr>
        <w:rPr>
          <w:rFonts w:asciiTheme="minorHAnsi" w:hAnsiTheme="minorHAnsi"/>
        </w:rPr>
      </w:pPr>
    </w:p>
    <w:p w:rsidR="003E193B" w:rsidRDefault="003E193B" w:rsidP="00CD4ACA">
      <w:pPr>
        <w:rPr>
          <w:rFonts w:asciiTheme="minorHAnsi" w:hAnsiTheme="minorHAnsi"/>
        </w:rPr>
      </w:pPr>
      <w:r w:rsidRPr="00CD4ACA">
        <w:rPr>
          <w:rFonts w:asciiTheme="minorHAnsi" w:hAnsiTheme="minorHAnsi"/>
        </w:rPr>
        <w:t xml:space="preserve">“Remuneration” is defined as all income assessable under Schedule E from your employment (including benefit in kind and the value of shares provided under a Revenue approved share purchase plan) and is subject to the maximum net relevant earnings of €115,000.  This earnings amount is to remain unchanged in 2015.  </w:t>
      </w:r>
    </w:p>
    <w:p w:rsidR="004A305F" w:rsidRPr="00CD4ACA" w:rsidRDefault="004A305F" w:rsidP="00CD4ACA">
      <w:pPr>
        <w:rPr>
          <w:rFonts w:asciiTheme="minorHAnsi" w:hAnsiTheme="minorHAnsi"/>
        </w:rPr>
      </w:pPr>
    </w:p>
    <w:p w:rsidR="00D90599" w:rsidRPr="00CD4ACA" w:rsidRDefault="00BD68A6" w:rsidP="00CD4ACA">
      <w:pPr>
        <w:rPr>
          <w:rFonts w:asciiTheme="minorHAnsi" w:hAnsiTheme="minorHAnsi"/>
          <w:color w:val="0070C0"/>
        </w:rPr>
      </w:pPr>
      <w:r w:rsidRPr="00CD4ACA">
        <w:rPr>
          <w:rFonts w:asciiTheme="minorHAnsi" w:hAnsiTheme="minorHAnsi"/>
          <w:color w:val="0070C0"/>
        </w:rPr>
        <w:t>Pension Fund Lifetime Limit</w:t>
      </w:r>
      <w:r w:rsidR="00D90599" w:rsidRPr="00CD4ACA">
        <w:rPr>
          <w:rFonts w:asciiTheme="minorHAnsi" w:hAnsiTheme="minorHAnsi"/>
          <w:color w:val="0070C0"/>
        </w:rPr>
        <w:t xml:space="preserve"> </w:t>
      </w:r>
    </w:p>
    <w:p w:rsidR="00B60AA1" w:rsidRPr="00CD4ACA" w:rsidRDefault="00D90599" w:rsidP="00CD4ACA">
      <w:pPr>
        <w:rPr>
          <w:rFonts w:asciiTheme="minorHAnsi" w:hAnsiTheme="minorHAnsi"/>
        </w:rPr>
      </w:pPr>
      <w:r w:rsidRPr="00CD4ACA">
        <w:rPr>
          <w:rFonts w:asciiTheme="minorHAnsi" w:hAnsiTheme="minorHAnsi"/>
        </w:rPr>
        <w:t xml:space="preserve">The limit on the total capital value of pension benefits that an individual can </w:t>
      </w:r>
      <w:r w:rsidR="00BD68A6" w:rsidRPr="00CD4ACA">
        <w:rPr>
          <w:rFonts w:asciiTheme="minorHAnsi" w:hAnsiTheme="minorHAnsi"/>
        </w:rPr>
        <w:t xml:space="preserve">accumulate </w:t>
      </w:r>
      <w:r w:rsidRPr="00CD4ACA">
        <w:rPr>
          <w:rFonts w:asciiTheme="minorHAnsi" w:hAnsiTheme="minorHAnsi"/>
        </w:rPr>
        <w:t>in their</w:t>
      </w:r>
      <w:r w:rsidR="00BD68A6" w:rsidRPr="00CD4ACA">
        <w:rPr>
          <w:rFonts w:asciiTheme="minorHAnsi" w:hAnsiTheme="minorHAnsi"/>
        </w:rPr>
        <w:t xml:space="preserve"> </w:t>
      </w:r>
      <w:r w:rsidRPr="00CD4ACA">
        <w:rPr>
          <w:rFonts w:asciiTheme="minorHAnsi" w:hAnsiTheme="minorHAnsi"/>
        </w:rPr>
        <w:t>lifetime</w:t>
      </w:r>
      <w:r w:rsidR="005030E3" w:rsidRPr="00CD4ACA">
        <w:rPr>
          <w:rFonts w:asciiTheme="minorHAnsi" w:hAnsiTheme="minorHAnsi"/>
        </w:rPr>
        <w:t xml:space="preserve"> remains unchanged</w:t>
      </w:r>
      <w:r w:rsidR="00B60AA1" w:rsidRPr="00CD4ACA">
        <w:rPr>
          <w:rFonts w:asciiTheme="minorHAnsi" w:hAnsiTheme="minorHAnsi"/>
        </w:rPr>
        <w:t xml:space="preserve"> for 2015</w:t>
      </w:r>
      <w:r w:rsidR="005030E3" w:rsidRPr="00CD4ACA">
        <w:rPr>
          <w:rFonts w:asciiTheme="minorHAnsi" w:hAnsiTheme="minorHAnsi"/>
        </w:rPr>
        <w:t xml:space="preserve"> at €2 million.  </w:t>
      </w:r>
      <w:r w:rsidRPr="00CD4ACA">
        <w:rPr>
          <w:rFonts w:asciiTheme="minorHAnsi" w:hAnsiTheme="minorHAnsi"/>
        </w:rPr>
        <w:t>This limit is known as the</w:t>
      </w:r>
      <w:r w:rsidR="005030E3" w:rsidRPr="00CD4ACA">
        <w:rPr>
          <w:rFonts w:asciiTheme="minorHAnsi" w:hAnsiTheme="minorHAnsi"/>
        </w:rPr>
        <w:t xml:space="preserve"> Standard Fund Threshold (SFT).  With positive investment returns and no change in the SFT, some me</w:t>
      </w:r>
      <w:r w:rsidR="00B60AA1" w:rsidRPr="00CD4ACA">
        <w:rPr>
          <w:rFonts w:asciiTheme="minorHAnsi" w:hAnsiTheme="minorHAnsi"/>
        </w:rPr>
        <w:t xml:space="preserve">mbers not previously affected may be drawing </w:t>
      </w:r>
      <w:r w:rsidR="00C10BAF">
        <w:rPr>
          <w:rFonts w:asciiTheme="minorHAnsi" w:hAnsiTheme="minorHAnsi"/>
        </w:rPr>
        <w:t xml:space="preserve">closer to the SFT.  Please contact </w:t>
      </w:r>
      <w:r w:rsidR="00B60AA1" w:rsidRPr="00CD4ACA">
        <w:rPr>
          <w:rFonts w:asciiTheme="minorHAnsi" w:hAnsiTheme="minorHAnsi"/>
        </w:rPr>
        <w:t xml:space="preserve">your CERS consultant to discuss </w:t>
      </w:r>
      <w:r w:rsidR="00C10BAF">
        <w:rPr>
          <w:rFonts w:asciiTheme="minorHAnsi" w:hAnsiTheme="minorHAnsi"/>
        </w:rPr>
        <w:t xml:space="preserve">this issue </w:t>
      </w:r>
      <w:r w:rsidR="00B60AA1" w:rsidRPr="00CD4ACA">
        <w:rPr>
          <w:rFonts w:asciiTheme="minorHAnsi" w:hAnsiTheme="minorHAnsi"/>
        </w:rPr>
        <w:t xml:space="preserve">if you think you may be affected.  </w:t>
      </w:r>
    </w:p>
    <w:p w:rsidR="00B60AA1" w:rsidRPr="00CD4ACA" w:rsidRDefault="00B60AA1" w:rsidP="00CD4ACA">
      <w:pPr>
        <w:rPr>
          <w:rFonts w:asciiTheme="minorHAnsi" w:hAnsiTheme="minorHAnsi"/>
        </w:rPr>
      </w:pPr>
    </w:p>
    <w:p w:rsidR="006746A1" w:rsidRPr="00CD4ACA" w:rsidRDefault="00B60AA1" w:rsidP="00CD4ACA">
      <w:pPr>
        <w:rPr>
          <w:rFonts w:asciiTheme="minorHAnsi" w:hAnsiTheme="minorHAnsi"/>
        </w:rPr>
      </w:pPr>
      <w:r w:rsidRPr="00CD4ACA">
        <w:rPr>
          <w:rFonts w:asciiTheme="minorHAnsi" w:hAnsiTheme="minorHAnsi"/>
        </w:rPr>
        <w:t>Separately, i</w:t>
      </w:r>
      <w:r w:rsidR="00D90599" w:rsidRPr="00CD4ACA">
        <w:rPr>
          <w:rFonts w:asciiTheme="minorHAnsi" w:hAnsiTheme="minorHAnsi"/>
        </w:rPr>
        <w:t>ndividuals with pension benefits in excess of €2 million on 1</w:t>
      </w:r>
      <w:r w:rsidR="00AD12B9" w:rsidRPr="00CD4ACA">
        <w:rPr>
          <w:rFonts w:asciiTheme="minorHAnsi" w:hAnsiTheme="minorHAnsi"/>
          <w:vertAlign w:val="superscript"/>
        </w:rPr>
        <w:t>st</w:t>
      </w:r>
      <w:r w:rsidR="00AD12B9" w:rsidRPr="00CD4ACA">
        <w:rPr>
          <w:rFonts w:asciiTheme="minorHAnsi" w:hAnsiTheme="minorHAnsi"/>
        </w:rPr>
        <w:t xml:space="preserve"> </w:t>
      </w:r>
      <w:r w:rsidR="00D90599" w:rsidRPr="00CD4ACA">
        <w:rPr>
          <w:rFonts w:asciiTheme="minorHAnsi" w:hAnsiTheme="minorHAnsi"/>
        </w:rPr>
        <w:t xml:space="preserve">January 2014 will be able to protect the capital value of those rights by claiming a Personal Fund Threshold (PFT) subject to a maximum of €2.3 million, being the old SFT. </w:t>
      </w:r>
      <w:r w:rsidR="009A0DAC">
        <w:rPr>
          <w:rFonts w:asciiTheme="minorHAnsi" w:hAnsiTheme="minorHAnsi"/>
        </w:rPr>
        <w:t>I</w:t>
      </w:r>
      <w:r w:rsidR="005030E3" w:rsidRPr="00CD4ACA">
        <w:rPr>
          <w:rFonts w:asciiTheme="minorHAnsi" w:hAnsiTheme="minorHAnsi"/>
        </w:rPr>
        <w:t>ndividuals affect</w:t>
      </w:r>
      <w:r w:rsidR="00CD4ACA" w:rsidRPr="00CD4ACA">
        <w:rPr>
          <w:rFonts w:asciiTheme="minorHAnsi" w:hAnsiTheme="minorHAnsi"/>
        </w:rPr>
        <w:t>ed</w:t>
      </w:r>
      <w:r w:rsidR="009A0DAC">
        <w:rPr>
          <w:rFonts w:asciiTheme="minorHAnsi" w:hAnsiTheme="minorHAnsi"/>
        </w:rPr>
        <w:t xml:space="preserve"> by the changes in 2014 </w:t>
      </w:r>
      <w:r w:rsidR="005030E3" w:rsidRPr="00CD4ACA">
        <w:rPr>
          <w:rFonts w:asciiTheme="minorHAnsi" w:hAnsiTheme="minorHAnsi"/>
        </w:rPr>
        <w:t xml:space="preserve">must claim their PFT electronically and a new system to process these applications was introduced in July 2014.  Applications should be completed online before the </w:t>
      </w:r>
      <w:r w:rsidR="00CD4ACA" w:rsidRPr="00CD4ACA">
        <w:rPr>
          <w:rFonts w:asciiTheme="minorHAnsi" w:hAnsiTheme="minorHAnsi"/>
        </w:rPr>
        <w:t>2</w:t>
      </w:r>
      <w:r w:rsidR="00CD4ACA" w:rsidRPr="00CD4ACA">
        <w:rPr>
          <w:rFonts w:asciiTheme="minorHAnsi" w:hAnsiTheme="minorHAnsi"/>
          <w:vertAlign w:val="superscript"/>
        </w:rPr>
        <w:t>nd</w:t>
      </w:r>
      <w:r w:rsidR="00CD4ACA" w:rsidRPr="00CD4ACA">
        <w:rPr>
          <w:rFonts w:asciiTheme="minorHAnsi" w:hAnsiTheme="minorHAnsi"/>
        </w:rPr>
        <w:t xml:space="preserve"> </w:t>
      </w:r>
      <w:r w:rsidR="005030E3" w:rsidRPr="00CD4ACA">
        <w:rPr>
          <w:rFonts w:asciiTheme="minorHAnsi" w:hAnsiTheme="minorHAnsi"/>
        </w:rPr>
        <w:t xml:space="preserve">July 2015.  </w:t>
      </w:r>
      <w:r w:rsidR="00D90599" w:rsidRPr="00CD4ACA">
        <w:rPr>
          <w:rFonts w:asciiTheme="minorHAnsi" w:hAnsiTheme="minorHAnsi"/>
        </w:rPr>
        <w:t xml:space="preserve">Those who already have a PFT </w:t>
      </w:r>
      <w:r w:rsidR="005030E3" w:rsidRPr="00CD4ACA">
        <w:rPr>
          <w:rFonts w:asciiTheme="minorHAnsi" w:hAnsiTheme="minorHAnsi"/>
        </w:rPr>
        <w:t xml:space="preserve">in place prior to 2014 </w:t>
      </w:r>
      <w:r w:rsidR="00D90599" w:rsidRPr="00CD4ACA">
        <w:rPr>
          <w:rFonts w:asciiTheme="minorHAnsi" w:hAnsiTheme="minorHAnsi"/>
        </w:rPr>
        <w:t xml:space="preserve">will retain it </w:t>
      </w:r>
      <w:r w:rsidR="00653678" w:rsidRPr="00CD4ACA">
        <w:rPr>
          <w:rFonts w:asciiTheme="minorHAnsi" w:hAnsiTheme="minorHAnsi"/>
        </w:rPr>
        <w:t xml:space="preserve">and so will </w:t>
      </w:r>
      <w:r w:rsidR="00D90599" w:rsidRPr="00CD4ACA">
        <w:rPr>
          <w:rFonts w:asciiTheme="minorHAnsi" w:hAnsiTheme="minorHAnsi"/>
        </w:rPr>
        <w:t xml:space="preserve">not need to take any </w:t>
      </w:r>
      <w:r w:rsidR="00653678" w:rsidRPr="00CD4ACA">
        <w:rPr>
          <w:rFonts w:asciiTheme="minorHAnsi" w:hAnsiTheme="minorHAnsi"/>
        </w:rPr>
        <w:t xml:space="preserve">further </w:t>
      </w:r>
      <w:r w:rsidR="00D90599" w:rsidRPr="00CD4ACA">
        <w:rPr>
          <w:rFonts w:asciiTheme="minorHAnsi" w:hAnsiTheme="minorHAnsi"/>
        </w:rPr>
        <w:t xml:space="preserve">action. </w:t>
      </w:r>
    </w:p>
    <w:p w:rsidR="00163A6D" w:rsidRPr="00CD4ACA" w:rsidRDefault="00163A6D" w:rsidP="00CD4ACA">
      <w:pPr>
        <w:rPr>
          <w:rFonts w:asciiTheme="minorHAnsi" w:hAnsiTheme="minorHAnsi"/>
        </w:rPr>
      </w:pPr>
    </w:p>
    <w:p w:rsidR="005030E3" w:rsidRPr="00CD4ACA" w:rsidRDefault="005030E3" w:rsidP="00CD4ACA">
      <w:pPr>
        <w:rPr>
          <w:rFonts w:asciiTheme="minorHAnsi" w:hAnsiTheme="minorHAnsi"/>
          <w:color w:val="0070C0"/>
        </w:rPr>
      </w:pPr>
      <w:r w:rsidRPr="00CD4ACA">
        <w:rPr>
          <w:rFonts w:asciiTheme="minorHAnsi" w:hAnsiTheme="minorHAnsi"/>
          <w:color w:val="0070C0"/>
        </w:rPr>
        <w:t>Other non</w:t>
      </w:r>
      <w:r w:rsidR="00CD4ACA" w:rsidRPr="00CD4ACA">
        <w:rPr>
          <w:rFonts w:asciiTheme="minorHAnsi" w:hAnsiTheme="minorHAnsi"/>
          <w:color w:val="0070C0"/>
        </w:rPr>
        <w:t>-</w:t>
      </w:r>
      <w:r w:rsidRPr="00CD4ACA">
        <w:rPr>
          <w:rFonts w:asciiTheme="minorHAnsi" w:hAnsiTheme="minorHAnsi"/>
          <w:color w:val="0070C0"/>
        </w:rPr>
        <w:t>movers….</w:t>
      </w:r>
    </w:p>
    <w:p w:rsidR="00B60AA1" w:rsidRPr="009A0DAC" w:rsidRDefault="009A0DAC" w:rsidP="009A0DAC">
      <w:pPr>
        <w:pStyle w:val="ListParagraph"/>
        <w:numPr>
          <w:ilvl w:val="0"/>
          <w:numId w:val="1"/>
        </w:numPr>
        <w:rPr>
          <w:rFonts w:asciiTheme="minorHAnsi" w:hAnsiTheme="minorHAnsi"/>
        </w:rPr>
      </w:pPr>
      <w:r w:rsidRPr="009A0DAC">
        <w:rPr>
          <w:rFonts w:asciiTheme="minorHAnsi" w:hAnsiTheme="minorHAnsi"/>
        </w:rPr>
        <w:t>The maximum lifetime tax free lump sum</w:t>
      </w:r>
      <w:r w:rsidR="00B60AA1" w:rsidRPr="009A0DAC">
        <w:rPr>
          <w:rFonts w:asciiTheme="minorHAnsi" w:hAnsiTheme="minorHAnsi"/>
        </w:rPr>
        <w:t xml:space="preserve"> remain</w:t>
      </w:r>
      <w:r w:rsidRPr="009A0DAC">
        <w:rPr>
          <w:rFonts w:asciiTheme="minorHAnsi" w:hAnsiTheme="minorHAnsi"/>
        </w:rPr>
        <w:t>s</w:t>
      </w:r>
      <w:r w:rsidR="00B60AA1" w:rsidRPr="009A0DAC">
        <w:rPr>
          <w:rFonts w:asciiTheme="minorHAnsi" w:hAnsiTheme="minorHAnsi"/>
        </w:rPr>
        <w:t xml:space="preserve"> at €200,000.  Lump sums between €200,000 and €500,000</w:t>
      </w:r>
      <w:r w:rsidR="00C10BAF">
        <w:rPr>
          <w:rFonts w:asciiTheme="minorHAnsi" w:hAnsiTheme="minorHAnsi"/>
        </w:rPr>
        <w:t xml:space="preserve"> are</w:t>
      </w:r>
      <w:r w:rsidR="00B60AA1" w:rsidRPr="009A0DAC">
        <w:rPr>
          <w:rFonts w:asciiTheme="minorHAnsi" w:hAnsiTheme="minorHAnsi"/>
        </w:rPr>
        <w:t xml:space="preserve"> taxed at 20% with any lump sum above €500,000 treated as income and taxed under the PAYE system.</w:t>
      </w:r>
    </w:p>
    <w:p w:rsidR="00B60AA1" w:rsidRPr="00CD4ACA" w:rsidRDefault="00B60AA1" w:rsidP="00CD4ACA">
      <w:pPr>
        <w:rPr>
          <w:rFonts w:asciiTheme="minorHAnsi" w:hAnsiTheme="minorHAnsi"/>
        </w:rPr>
      </w:pPr>
    </w:p>
    <w:p w:rsidR="00B60AA1" w:rsidRPr="009A0DAC" w:rsidRDefault="009A0DAC" w:rsidP="009A0DAC">
      <w:pPr>
        <w:pStyle w:val="ListParagraph"/>
        <w:numPr>
          <w:ilvl w:val="0"/>
          <w:numId w:val="1"/>
        </w:numPr>
        <w:rPr>
          <w:rFonts w:asciiTheme="minorHAnsi" w:hAnsiTheme="minorHAnsi"/>
        </w:rPr>
      </w:pPr>
      <w:r w:rsidRPr="009A0DAC">
        <w:rPr>
          <w:rFonts w:asciiTheme="minorHAnsi" w:hAnsiTheme="minorHAnsi"/>
        </w:rPr>
        <w:t>The State pension also</w:t>
      </w:r>
      <w:r w:rsidR="00B60AA1" w:rsidRPr="009A0DAC">
        <w:rPr>
          <w:rFonts w:asciiTheme="minorHAnsi" w:hAnsiTheme="minorHAnsi"/>
        </w:rPr>
        <w:t xml:space="preserve"> remain</w:t>
      </w:r>
      <w:r w:rsidRPr="009A0DAC">
        <w:rPr>
          <w:rFonts w:asciiTheme="minorHAnsi" w:hAnsiTheme="minorHAnsi"/>
        </w:rPr>
        <w:t>s</w:t>
      </w:r>
      <w:r w:rsidR="00B60AA1" w:rsidRPr="009A0DAC">
        <w:rPr>
          <w:rFonts w:asciiTheme="minorHAnsi" w:hAnsiTheme="minorHAnsi"/>
        </w:rPr>
        <w:t xml:space="preserve"> unchanged.   The amount of state contributory pension for a single person is €230.30 per week.</w:t>
      </w:r>
    </w:p>
    <w:p w:rsidR="00B60AA1" w:rsidRPr="00CD4ACA" w:rsidRDefault="00B60AA1" w:rsidP="00CD4ACA">
      <w:pPr>
        <w:rPr>
          <w:rFonts w:asciiTheme="minorHAnsi" w:hAnsiTheme="minorHAnsi"/>
        </w:rPr>
      </w:pPr>
    </w:p>
    <w:p w:rsidR="00B60AA1" w:rsidRDefault="00B60AA1" w:rsidP="009A0DAC">
      <w:pPr>
        <w:pStyle w:val="NormalWeb"/>
        <w:numPr>
          <w:ilvl w:val="0"/>
          <w:numId w:val="1"/>
        </w:numPr>
        <w:rPr>
          <w:rFonts w:asciiTheme="minorHAnsi" w:hAnsiTheme="minorHAnsi"/>
          <w:sz w:val="22"/>
          <w:szCs w:val="22"/>
        </w:rPr>
      </w:pPr>
      <w:r w:rsidRPr="009A0DAC">
        <w:rPr>
          <w:rFonts w:asciiTheme="minorHAnsi" w:hAnsiTheme="minorHAnsi"/>
          <w:sz w:val="22"/>
          <w:szCs w:val="22"/>
        </w:rPr>
        <w:t xml:space="preserve">For Approved Retirement Funds (ARF), the income test is to remain at €12,700 per annum and the amount required to be transferred to an Approved Minimum Retirement Fund (AMRF) is €63,500.  </w:t>
      </w:r>
      <w:r w:rsidR="009A0DAC" w:rsidRPr="009A0DAC">
        <w:rPr>
          <w:rFonts w:asciiTheme="minorHAnsi" w:hAnsiTheme="minorHAnsi" w:cs="Arial"/>
          <w:color w:val="000000"/>
          <w:sz w:val="22"/>
          <w:szCs w:val="22"/>
        </w:rPr>
        <w:t xml:space="preserve">These amounts are due to increase automatically to the previous levels (of €18,000 per annum and €119,800 respectively) in March 2016 unless there is further legislation to keep the limits at the lower levels.  </w:t>
      </w:r>
      <w:r w:rsidR="009A0DAC" w:rsidRPr="009A0DAC">
        <w:rPr>
          <w:rFonts w:asciiTheme="minorHAnsi" w:hAnsiTheme="minorHAnsi"/>
          <w:sz w:val="22"/>
          <w:szCs w:val="22"/>
        </w:rPr>
        <w:t>Furthermore, t</w:t>
      </w:r>
      <w:r w:rsidRPr="009A0DAC">
        <w:rPr>
          <w:rFonts w:asciiTheme="minorHAnsi" w:hAnsiTheme="minorHAnsi"/>
          <w:sz w:val="22"/>
          <w:szCs w:val="22"/>
        </w:rPr>
        <w:t>he impu</w:t>
      </w:r>
      <w:r w:rsidR="009A0DAC" w:rsidRPr="009A0DAC">
        <w:rPr>
          <w:rFonts w:asciiTheme="minorHAnsi" w:hAnsiTheme="minorHAnsi"/>
          <w:sz w:val="22"/>
          <w:szCs w:val="22"/>
        </w:rPr>
        <w:t>ted distribution rate for ARF assets</w:t>
      </w:r>
      <w:r w:rsidRPr="009A0DAC">
        <w:rPr>
          <w:rFonts w:asciiTheme="minorHAnsi" w:hAnsiTheme="minorHAnsi"/>
          <w:sz w:val="22"/>
          <w:szCs w:val="22"/>
        </w:rPr>
        <w:t xml:space="preserve"> less than or equal to €2 million is to remain at 5% and for assets in excess of €2 million is to remain at 6%.</w:t>
      </w:r>
    </w:p>
    <w:p w:rsidR="009A0DAC" w:rsidRDefault="009A0DAC" w:rsidP="009A0DAC">
      <w:pPr>
        <w:pStyle w:val="ListParagraph"/>
        <w:rPr>
          <w:rFonts w:asciiTheme="minorHAnsi" w:hAnsiTheme="minorHAnsi"/>
        </w:rPr>
      </w:pPr>
    </w:p>
    <w:p w:rsidR="009A0DAC" w:rsidRPr="009A0DAC" w:rsidRDefault="009A0DAC" w:rsidP="009A0DAC">
      <w:pPr>
        <w:pStyle w:val="NormalWeb"/>
        <w:numPr>
          <w:ilvl w:val="0"/>
          <w:numId w:val="1"/>
        </w:numPr>
        <w:rPr>
          <w:rFonts w:asciiTheme="minorHAnsi" w:hAnsiTheme="minorHAnsi"/>
          <w:sz w:val="22"/>
          <w:szCs w:val="22"/>
        </w:rPr>
      </w:pPr>
      <w:r>
        <w:rPr>
          <w:rFonts w:asciiTheme="minorHAnsi" w:hAnsiTheme="minorHAnsi"/>
          <w:sz w:val="22"/>
          <w:szCs w:val="22"/>
        </w:rPr>
        <w:t xml:space="preserve">Members continue to have access to drawdown up to 30% of their AVC funds up until March 2016 subject to income </w:t>
      </w:r>
      <w:r w:rsidR="00C10BAF">
        <w:rPr>
          <w:rFonts w:asciiTheme="minorHAnsi" w:hAnsiTheme="minorHAnsi"/>
          <w:sz w:val="22"/>
          <w:szCs w:val="22"/>
        </w:rPr>
        <w:t xml:space="preserve">tax charged at marginal rates.  </w:t>
      </w:r>
    </w:p>
    <w:p w:rsidR="00B60AA1" w:rsidRPr="00CD4ACA" w:rsidRDefault="00B60AA1" w:rsidP="00D90599">
      <w:pPr>
        <w:pStyle w:val="NoSpacing"/>
      </w:pPr>
    </w:p>
    <w:p w:rsidR="00CD4ACA" w:rsidRPr="00CD4ACA" w:rsidRDefault="00CD4ACA" w:rsidP="00D90599">
      <w:pPr>
        <w:pStyle w:val="NoSpacing"/>
        <w:rPr>
          <w:b/>
          <w:color w:val="0070C0"/>
        </w:rPr>
      </w:pPr>
      <w:r w:rsidRPr="00CD4ACA">
        <w:rPr>
          <w:b/>
          <w:color w:val="0070C0"/>
        </w:rPr>
        <w:t>And Finally…….</w:t>
      </w:r>
    </w:p>
    <w:p w:rsidR="00CD4ACA" w:rsidRPr="009D34B5" w:rsidRDefault="00CD4ACA" w:rsidP="00CD4ACA">
      <w:pPr>
        <w:shd w:val="clear" w:color="auto" w:fill="FFFFFF"/>
        <w:spacing w:after="300" w:line="294" w:lineRule="atLeast"/>
        <w:textAlignment w:val="baseline"/>
        <w:rPr>
          <w:rFonts w:asciiTheme="minorHAnsi" w:hAnsiTheme="minorHAnsi" w:cs="Arial"/>
          <w:bdr w:val="none" w:sz="0" w:space="0" w:color="auto" w:frame="1"/>
        </w:rPr>
      </w:pPr>
      <w:r w:rsidRPr="009D34B5">
        <w:rPr>
          <w:rFonts w:asciiTheme="minorHAnsi" w:hAnsiTheme="minorHAnsi" w:cs="Arial"/>
          <w:bdr w:val="none" w:sz="0" w:space="0" w:color="auto" w:frame="1"/>
        </w:rPr>
        <w:t xml:space="preserve">31 October is an important date in all of our calendars. It represents a last chance to get </w:t>
      </w:r>
      <w:r w:rsidR="004A305F" w:rsidRPr="009D34B5">
        <w:rPr>
          <w:rFonts w:asciiTheme="minorHAnsi" w:hAnsiTheme="minorHAnsi" w:cs="Arial"/>
          <w:bdr w:val="none" w:sz="0" w:space="0" w:color="auto" w:frame="1"/>
        </w:rPr>
        <w:t xml:space="preserve">some money back from the taxman.  </w:t>
      </w:r>
      <w:r w:rsidRPr="009D34B5">
        <w:rPr>
          <w:rFonts w:asciiTheme="minorHAnsi" w:hAnsiTheme="minorHAnsi" w:cs="Arial"/>
          <w:bdr w:val="none" w:sz="0" w:space="0" w:color="auto" w:frame="1"/>
        </w:rPr>
        <w:t xml:space="preserve">This is the final date on which you can claim tax relief on backdated AVCs. If you pay a lump sum AVC by cheque and claim tax relief on this AVC by 31 October you can get tax relief in respect of the </w:t>
      </w:r>
      <w:r w:rsidRPr="00C10BAF">
        <w:rPr>
          <w:rFonts w:asciiTheme="minorHAnsi" w:hAnsiTheme="minorHAnsi" w:cs="Arial"/>
          <w:b/>
          <w:bCs/>
          <w:i/>
          <w:iCs/>
          <w:color w:val="0070C0"/>
          <w:bdr w:val="none" w:sz="0" w:space="0" w:color="auto" w:frame="1"/>
        </w:rPr>
        <w:t>previous</w:t>
      </w:r>
      <w:r w:rsidRPr="009D34B5">
        <w:rPr>
          <w:rStyle w:val="apple-converted-space"/>
          <w:rFonts w:asciiTheme="minorHAnsi" w:hAnsiTheme="minorHAnsi" w:cs="Arial"/>
          <w:b/>
          <w:bCs/>
          <w:i/>
          <w:iCs/>
          <w:bdr w:val="none" w:sz="0" w:space="0" w:color="auto" w:frame="1"/>
        </w:rPr>
        <w:t> </w:t>
      </w:r>
      <w:r w:rsidRPr="009D34B5">
        <w:rPr>
          <w:rFonts w:asciiTheme="minorHAnsi" w:hAnsiTheme="minorHAnsi" w:cs="Arial"/>
          <w:bdr w:val="none" w:sz="0" w:space="0" w:color="auto" w:frame="1"/>
        </w:rPr>
        <w:t>calendar year.  For example, if you pay a lump sum AVC by 31 October 2014 you may get tax relief in respect of any unused tax relief for 2013 providing you claim this relief from the Revenue by the 31 October 2014.</w:t>
      </w:r>
    </w:p>
    <w:p w:rsidR="00CD4ACA" w:rsidRPr="009D34B5" w:rsidRDefault="00CD4ACA" w:rsidP="00CD4ACA">
      <w:pPr>
        <w:shd w:val="clear" w:color="auto" w:fill="FFFFFF"/>
        <w:spacing w:after="300" w:line="294" w:lineRule="atLeast"/>
        <w:textAlignment w:val="baseline"/>
        <w:rPr>
          <w:rFonts w:asciiTheme="minorHAnsi" w:hAnsiTheme="minorHAnsi" w:cs="Arial"/>
          <w:b/>
          <w:bCs/>
          <w:i/>
          <w:iCs/>
          <w:bdr w:val="none" w:sz="0" w:space="0" w:color="auto" w:frame="1"/>
        </w:rPr>
      </w:pPr>
      <w:r w:rsidRPr="009D34B5">
        <w:rPr>
          <w:rFonts w:asciiTheme="minorHAnsi" w:hAnsiTheme="minorHAnsi" w:cs="Arial"/>
          <w:b/>
          <w:bCs/>
          <w:i/>
          <w:iCs/>
          <w:bdr w:val="none" w:sz="0" w:space="0" w:color="auto" w:frame="1"/>
        </w:rPr>
        <w:t>Example</w:t>
      </w:r>
    </w:p>
    <w:p w:rsidR="00CD4ACA" w:rsidRPr="009D34B5" w:rsidRDefault="00CD4ACA" w:rsidP="00CD4ACA">
      <w:pPr>
        <w:shd w:val="clear" w:color="auto" w:fill="FFFFFF"/>
        <w:spacing w:after="300" w:line="294" w:lineRule="atLeast"/>
        <w:textAlignment w:val="baseline"/>
        <w:rPr>
          <w:rFonts w:asciiTheme="minorHAnsi" w:hAnsiTheme="minorHAnsi" w:cs="Arial"/>
          <w:bdr w:val="none" w:sz="0" w:space="0" w:color="auto" w:frame="1"/>
        </w:rPr>
      </w:pPr>
      <w:r w:rsidRPr="009D34B5">
        <w:rPr>
          <w:rFonts w:asciiTheme="minorHAnsi" w:hAnsiTheme="minorHAnsi" w:cs="Arial"/>
          <w:bdr w:val="none" w:sz="0" w:space="0" w:color="auto" w:frame="1"/>
        </w:rPr>
        <w:t>Additional Voluntary Contribution paid 25 October 2014:                  €2,000</w:t>
      </w:r>
    </w:p>
    <w:p w:rsidR="00CD4ACA" w:rsidRPr="009D34B5" w:rsidRDefault="00CD4ACA" w:rsidP="00CD4ACA">
      <w:pPr>
        <w:shd w:val="clear" w:color="auto" w:fill="FFFFFF"/>
        <w:spacing w:after="300" w:line="294" w:lineRule="atLeast"/>
        <w:jc w:val="both"/>
        <w:textAlignment w:val="baseline"/>
        <w:rPr>
          <w:rFonts w:asciiTheme="minorHAnsi" w:hAnsiTheme="minorHAnsi" w:cs="Arial"/>
          <w:bdr w:val="none" w:sz="0" w:space="0" w:color="auto" w:frame="1"/>
        </w:rPr>
      </w:pPr>
      <w:r w:rsidRPr="009D34B5">
        <w:rPr>
          <w:rFonts w:asciiTheme="minorHAnsi" w:hAnsiTheme="minorHAnsi" w:cs="Arial"/>
          <w:bdr w:val="none" w:sz="0" w:space="0" w:color="auto" w:frame="1"/>
        </w:rPr>
        <w:t>Reduction in 2013 tax bill (41% tax payer):                                             €820</w:t>
      </w:r>
    </w:p>
    <w:p w:rsidR="00CD4ACA" w:rsidRPr="009D34B5" w:rsidRDefault="00CD4ACA" w:rsidP="00CD4ACA">
      <w:pPr>
        <w:shd w:val="clear" w:color="auto" w:fill="FFFFFF"/>
        <w:spacing w:after="300" w:line="294" w:lineRule="atLeast"/>
        <w:jc w:val="both"/>
        <w:textAlignment w:val="baseline"/>
        <w:rPr>
          <w:rFonts w:asciiTheme="minorHAnsi" w:hAnsiTheme="minorHAnsi" w:cs="Arial"/>
          <w:bdr w:val="none" w:sz="0" w:space="0" w:color="auto" w:frame="1"/>
        </w:rPr>
      </w:pPr>
      <w:r w:rsidRPr="009D34B5">
        <w:rPr>
          <w:rFonts w:asciiTheme="minorHAnsi" w:hAnsiTheme="minorHAnsi" w:cs="Arial"/>
          <w:bdr w:val="none" w:sz="0" w:space="0" w:color="auto" w:frame="1"/>
        </w:rPr>
        <w:t>Actual cost to you of additional €2,000 into your pension:              €1,180</w:t>
      </w:r>
    </w:p>
    <w:p w:rsidR="00CD4ACA" w:rsidRPr="00C10BAF" w:rsidRDefault="00CD4ACA" w:rsidP="00CD4ACA">
      <w:pPr>
        <w:shd w:val="clear" w:color="auto" w:fill="FFFFFF"/>
        <w:spacing w:after="300" w:line="294" w:lineRule="atLeast"/>
        <w:jc w:val="both"/>
        <w:textAlignment w:val="baseline"/>
        <w:rPr>
          <w:rFonts w:asciiTheme="minorHAnsi" w:hAnsiTheme="minorHAnsi" w:cs="Arial"/>
          <w:color w:val="0070C0"/>
          <w:bdr w:val="none" w:sz="0" w:space="0" w:color="auto" w:frame="1"/>
        </w:rPr>
      </w:pPr>
      <w:r w:rsidRPr="009D34B5">
        <w:rPr>
          <w:rFonts w:asciiTheme="minorHAnsi" w:hAnsiTheme="minorHAnsi" w:cs="Arial"/>
          <w:bdr w:val="none" w:sz="0" w:space="0" w:color="auto" w:frame="1"/>
        </w:rPr>
        <w:t>Please note that the Revenue deadline is extended for members who complete their tax return online using the Revenue Online Service (ROS). This year the extended deadline is</w:t>
      </w:r>
      <w:r w:rsidRPr="009D34B5">
        <w:rPr>
          <w:rStyle w:val="apple-converted-space"/>
          <w:rFonts w:asciiTheme="minorHAnsi" w:hAnsiTheme="minorHAnsi" w:cs="Arial"/>
          <w:bdr w:val="none" w:sz="0" w:space="0" w:color="auto" w:frame="1"/>
        </w:rPr>
        <w:t> </w:t>
      </w:r>
      <w:r w:rsidRPr="00C10BAF">
        <w:rPr>
          <w:rFonts w:asciiTheme="minorHAnsi" w:hAnsiTheme="minorHAnsi" w:cs="Arial"/>
          <w:b/>
          <w:bCs/>
          <w:color w:val="0070C0"/>
          <w:bdr w:val="none" w:sz="0" w:space="0" w:color="auto" w:frame="1"/>
        </w:rPr>
        <w:t>13 November 2014.</w:t>
      </w:r>
    </w:p>
    <w:p w:rsidR="00CD4ACA" w:rsidRDefault="00C10BAF" w:rsidP="00D90599">
      <w:pPr>
        <w:pStyle w:val="NoSpacing"/>
      </w:pPr>
      <w:r>
        <w:t xml:space="preserve">Please regularly refer to the NEWS section of our website </w:t>
      </w:r>
      <w:hyperlink r:id="rId6" w:history="1">
        <w:r w:rsidRPr="00527013">
          <w:rPr>
            <w:rStyle w:val="Hyperlink"/>
          </w:rPr>
          <w:t>www.cers.ie</w:t>
        </w:r>
      </w:hyperlink>
      <w:r>
        <w:t xml:space="preserve"> to keep up to date with developments in CERS and the pension industry. </w:t>
      </w:r>
    </w:p>
    <w:p w:rsidR="00C10BAF" w:rsidRPr="00CD4ACA" w:rsidRDefault="00C10BAF" w:rsidP="00D90599">
      <w:pPr>
        <w:pStyle w:val="NoSpacing"/>
      </w:pPr>
    </w:p>
    <w:p w:rsidR="00B60AA1" w:rsidRDefault="004A305F" w:rsidP="00D90599">
      <w:pPr>
        <w:pStyle w:val="NoSpacing"/>
      </w:pPr>
      <w:r>
        <w:t xml:space="preserve">If you have any queries regarding the information outlined above or </w:t>
      </w:r>
      <w:r w:rsidR="00C10BAF">
        <w:t xml:space="preserve">if you </w:t>
      </w:r>
      <w:r>
        <w:t xml:space="preserve">wish to discuss your </w:t>
      </w:r>
      <w:r w:rsidR="00C10BAF">
        <w:t>CERS pension arrangement</w:t>
      </w:r>
      <w:r>
        <w:t xml:space="preserve"> please call us on (01) 407 1430</w:t>
      </w:r>
      <w:r w:rsidR="00C10BAF">
        <w:t xml:space="preserve"> or email info@cers.ie</w:t>
      </w:r>
      <w:r>
        <w:t>.</w:t>
      </w:r>
    </w:p>
    <w:p w:rsidR="00B60AA1" w:rsidRDefault="00B60AA1" w:rsidP="00D90599">
      <w:pPr>
        <w:pStyle w:val="NoSpacing"/>
      </w:pPr>
    </w:p>
    <w:p w:rsidR="005030E3" w:rsidRDefault="005030E3" w:rsidP="00D90599">
      <w:pPr>
        <w:pStyle w:val="NoSpacing"/>
      </w:pPr>
    </w:p>
    <w:p w:rsidR="005030E3" w:rsidRDefault="005030E3" w:rsidP="00D90599">
      <w:pPr>
        <w:pStyle w:val="NoSpacing"/>
      </w:pPr>
    </w:p>
    <w:sectPr w:rsidR="005030E3" w:rsidSect="00C10BAF">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55DE"/>
    <w:multiLevelType w:val="hybridMultilevel"/>
    <w:tmpl w:val="3FE48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99"/>
    <w:rsid w:val="0005061E"/>
    <w:rsid w:val="00163A6D"/>
    <w:rsid w:val="00172BF6"/>
    <w:rsid w:val="00315378"/>
    <w:rsid w:val="003D2FFC"/>
    <w:rsid w:val="003E193B"/>
    <w:rsid w:val="004A305F"/>
    <w:rsid w:val="005030E3"/>
    <w:rsid w:val="00653678"/>
    <w:rsid w:val="006746A1"/>
    <w:rsid w:val="007F7CA6"/>
    <w:rsid w:val="009A0DAC"/>
    <w:rsid w:val="009D34B5"/>
    <w:rsid w:val="009D409F"/>
    <w:rsid w:val="00A7289C"/>
    <w:rsid w:val="00AA3A3B"/>
    <w:rsid w:val="00AD12B9"/>
    <w:rsid w:val="00AD67B5"/>
    <w:rsid w:val="00B60AA1"/>
    <w:rsid w:val="00BD68A6"/>
    <w:rsid w:val="00C10BAF"/>
    <w:rsid w:val="00C8240D"/>
    <w:rsid w:val="00CD4ACA"/>
    <w:rsid w:val="00D71527"/>
    <w:rsid w:val="00D90599"/>
    <w:rsid w:val="00DB0C11"/>
    <w:rsid w:val="00F848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599"/>
    <w:pPr>
      <w:spacing w:after="0" w:line="240" w:lineRule="auto"/>
    </w:pPr>
  </w:style>
  <w:style w:type="table" w:styleId="TableGrid">
    <w:name w:val="Table Grid"/>
    <w:basedOn w:val="TableNormal"/>
    <w:uiPriority w:val="59"/>
    <w:rsid w:val="00AA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4ACA"/>
  </w:style>
  <w:style w:type="table" w:styleId="LightShading-Accent3">
    <w:name w:val="Light Shading Accent 3"/>
    <w:basedOn w:val="TableNormal"/>
    <w:uiPriority w:val="60"/>
    <w:rsid w:val="00CD4AC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CD4A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3">
    <w:name w:val="Medium Grid 1 Accent 3"/>
    <w:basedOn w:val="TableNormal"/>
    <w:uiPriority w:val="67"/>
    <w:rsid w:val="00CD4AC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A0DAC"/>
    <w:rPr>
      <w:rFonts w:ascii="Times New Roman" w:hAnsi="Times New Roman"/>
      <w:sz w:val="24"/>
      <w:szCs w:val="24"/>
      <w:lang w:eastAsia="en-IE"/>
    </w:rPr>
  </w:style>
  <w:style w:type="paragraph" w:styleId="ListParagraph">
    <w:name w:val="List Paragraph"/>
    <w:basedOn w:val="Normal"/>
    <w:uiPriority w:val="34"/>
    <w:qFormat/>
    <w:rsid w:val="009A0DAC"/>
    <w:pPr>
      <w:ind w:left="720"/>
      <w:contextualSpacing/>
    </w:pPr>
  </w:style>
  <w:style w:type="character" w:styleId="Hyperlink">
    <w:name w:val="Hyperlink"/>
    <w:basedOn w:val="DefaultParagraphFont"/>
    <w:uiPriority w:val="99"/>
    <w:unhideWhenUsed/>
    <w:rsid w:val="00C10B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599"/>
    <w:pPr>
      <w:spacing w:after="0" w:line="240" w:lineRule="auto"/>
    </w:pPr>
  </w:style>
  <w:style w:type="table" w:styleId="TableGrid">
    <w:name w:val="Table Grid"/>
    <w:basedOn w:val="TableNormal"/>
    <w:uiPriority w:val="59"/>
    <w:rsid w:val="00AA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4ACA"/>
  </w:style>
  <w:style w:type="table" w:styleId="LightShading-Accent3">
    <w:name w:val="Light Shading Accent 3"/>
    <w:basedOn w:val="TableNormal"/>
    <w:uiPriority w:val="60"/>
    <w:rsid w:val="00CD4AC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CD4A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3">
    <w:name w:val="Medium Grid 1 Accent 3"/>
    <w:basedOn w:val="TableNormal"/>
    <w:uiPriority w:val="67"/>
    <w:rsid w:val="00CD4AC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A0DAC"/>
    <w:rPr>
      <w:rFonts w:ascii="Times New Roman" w:hAnsi="Times New Roman"/>
      <w:sz w:val="24"/>
      <w:szCs w:val="24"/>
      <w:lang w:eastAsia="en-IE"/>
    </w:rPr>
  </w:style>
  <w:style w:type="paragraph" w:styleId="ListParagraph">
    <w:name w:val="List Paragraph"/>
    <w:basedOn w:val="Normal"/>
    <w:uiPriority w:val="34"/>
    <w:qFormat/>
    <w:rsid w:val="009A0DAC"/>
    <w:pPr>
      <w:ind w:left="720"/>
      <w:contextualSpacing/>
    </w:pPr>
  </w:style>
  <w:style w:type="character" w:styleId="Hyperlink">
    <w:name w:val="Hyperlink"/>
    <w:basedOn w:val="DefaultParagraphFont"/>
    <w:uiPriority w:val="99"/>
    <w:unhideWhenUsed/>
    <w:rsid w:val="00C10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991">
      <w:bodyDiv w:val="1"/>
      <w:marLeft w:val="0"/>
      <w:marRight w:val="0"/>
      <w:marTop w:val="0"/>
      <w:marBottom w:val="0"/>
      <w:divBdr>
        <w:top w:val="none" w:sz="0" w:space="0" w:color="auto"/>
        <w:left w:val="none" w:sz="0" w:space="0" w:color="auto"/>
        <w:bottom w:val="none" w:sz="0" w:space="0" w:color="auto"/>
        <w:right w:val="none" w:sz="0" w:space="0" w:color="auto"/>
      </w:divBdr>
    </w:div>
    <w:div w:id="10068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rs.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Construction Workers Pension Scheme</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O'Mara</dc:creator>
  <cp:lastModifiedBy>Frances McNally</cp:lastModifiedBy>
  <cp:revision>2</cp:revision>
  <dcterms:created xsi:type="dcterms:W3CDTF">2016-01-21T15:54:00Z</dcterms:created>
  <dcterms:modified xsi:type="dcterms:W3CDTF">2016-01-21T15:54:00Z</dcterms:modified>
</cp:coreProperties>
</file>